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26, 2026 (June 23, 2026)</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SURO CAPITAL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1-35156</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27-4443543</w:t>
            </w:r>
          </w:p>
        </w:tc>
      </w:tr>
      <w:tr>
        <w:trPr>
          <w:trHeight w:val="216"/>
        </w:trPr>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incorporation)</w:t>
            </w: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3"/>
        </w:trPr>
        <w:tc>
          <w:tcPr>
            <w:tcW w:w="2260" w:type="dxa"/>
            <w:vAlign w:val="bottom"/>
          </w:tcPr>
          <w:p>
            <w:pPr>
              <w:spacing w:after="0"/>
              <w:rPr>
                <w:sz w:val="24"/>
                <w:szCs w:val="24"/>
                <w:color w:val="auto"/>
              </w:rPr>
            </w:pPr>
          </w:p>
        </w:tc>
        <w:tc>
          <w:tcPr>
            <w:tcW w:w="5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640 Fifth Avenue</w:t>
            </w:r>
          </w:p>
        </w:tc>
        <w:tc>
          <w:tcPr>
            <w:tcW w:w="1700" w:type="dxa"/>
            <w:vAlign w:val="bottom"/>
          </w:tcPr>
          <w:p>
            <w:pPr>
              <w:spacing w:after="0"/>
              <w:rPr>
                <w:sz w:val="24"/>
                <w:szCs w:val="24"/>
                <w:color w:val="auto"/>
              </w:rPr>
            </w:pPr>
          </w:p>
        </w:tc>
      </w:tr>
      <w:tr>
        <w:trPr>
          <w:trHeight w:val="253"/>
        </w:trPr>
        <w:tc>
          <w:tcPr>
            <w:tcW w:w="2260" w:type="dxa"/>
            <w:vAlign w:val="bottom"/>
          </w:tcPr>
          <w:p>
            <w:pPr>
              <w:spacing w:after="0"/>
              <w:rPr>
                <w:sz w:val="21"/>
                <w:szCs w:val="21"/>
                <w:color w:val="auto"/>
              </w:rPr>
            </w:pPr>
          </w:p>
        </w:tc>
        <w:tc>
          <w:tcPr>
            <w:tcW w:w="5400" w:type="dxa"/>
            <w:vAlign w:val="bottom"/>
          </w:tcPr>
          <w:p>
            <w:pPr>
              <w:jc w:val="center"/>
              <w:ind w:right="90"/>
              <w:spacing w:after="0" w:line="252" w:lineRule="exact"/>
              <w:rPr>
                <w:sz w:val="20"/>
                <w:szCs w:val="20"/>
                <w:color w:val="auto"/>
              </w:rPr>
            </w:pPr>
            <w:r>
              <w:rPr>
                <w:rFonts w:ascii="Times New Roman" w:cs="Times New Roman" w:eastAsia="Times New Roman" w:hAnsi="Times New Roman"/>
                <w:sz w:val="18"/>
                <w:szCs w:val="18"/>
                <w:b w:val="1"/>
                <w:bCs w:val="1"/>
                <w:color w:val="auto"/>
                <w:w w:val="95"/>
              </w:rPr>
              <w:t>12</w:t>
            </w:r>
            <w:r>
              <w:rPr>
                <w:rFonts w:ascii="Times New Roman" w:cs="Times New Roman" w:eastAsia="Times New Roman" w:hAnsi="Times New Roman"/>
                <w:sz w:val="29"/>
                <w:szCs w:val="29"/>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Floor</w:t>
            </w:r>
          </w:p>
        </w:tc>
        <w:tc>
          <w:tcPr>
            <w:tcW w:w="1700" w:type="dxa"/>
            <w:vAlign w:val="bottom"/>
          </w:tcPr>
          <w:p>
            <w:pPr>
              <w:spacing w:after="0"/>
              <w:rPr>
                <w:sz w:val="21"/>
                <w:szCs w:val="21"/>
                <w:color w:val="auto"/>
              </w:rPr>
            </w:pPr>
          </w:p>
        </w:tc>
      </w:tr>
      <w:tr>
        <w:trPr>
          <w:trHeight w:val="220"/>
        </w:trPr>
        <w:tc>
          <w:tcPr>
            <w:tcW w:w="2260" w:type="dxa"/>
            <w:vAlign w:val="bottom"/>
          </w:tcPr>
          <w:p>
            <w:pPr>
              <w:spacing w:after="0"/>
              <w:rPr>
                <w:sz w:val="19"/>
                <w:szCs w:val="19"/>
                <w:color w:val="auto"/>
              </w:rPr>
            </w:pPr>
          </w:p>
        </w:tc>
        <w:tc>
          <w:tcPr>
            <w:tcW w:w="5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c>
          <w:tcPr>
            <w:tcW w:w="170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5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1700" w:type="dxa"/>
            <w:vAlign w:val="bottom"/>
          </w:tcPr>
          <w:p>
            <w:pPr>
              <w:spacing w:after="0"/>
              <w:rPr>
                <w:sz w:val="20"/>
                <w:szCs w:val="20"/>
                <w:color w:val="auto"/>
              </w:rPr>
            </w:pPr>
          </w:p>
        </w:tc>
      </w:tr>
      <w:tr>
        <w:trPr>
          <w:trHeight w:val="432"/>
        </w:trPr>
        <w:tc>
          <w:tcPr>
            <w:tcW w:w="2260" w:type="dxa"/>
            <w:vAlign w:val="bottom"/>
          </w:tcPr>
          <w:p>
            <w:pPr>
              <w:spacing w:after="0"/>
              <w:rPr>
                <w:sz w:val="24"/>
                <w:szCs w:val="24"/>
                <w:color w:val="auto"/>
              </w:rPr>
            </w:pPr>
          </w:p>
        </w:tc>
        <w:tc>
          <w:tcPr>
            <w:tcW w:w="5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(650) 235-4769</w:t>
            </w:r>
          </w:p>
        </w:tc>
        <w:tc>
          <w:tcPr>
            <w:tcW w:w="170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SSSS</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6.00% Notes due 2026</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SSSSL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Articles of Amendment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June 23, 2026, SuRo Capital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filed Articles of Amendment (the “</w:t>
      </w:r>
      <w:r>
        <w:rPr>
          <w:rFonts w:ascii="Times New Roman" w:cs="Times New Roman" w:eastAsia="Times New Roman" w:hAnsi="Times New Roman"/>
          <w:sz w:val="18"/>
          <w:szCs w:val="18"/>
          <w:b w:val="1"/>
          <w:bCs w:val="1"/>
          <w:i w:val="1"/>
          <w:iCs w:val="1"/>
          <w:color w:val="auto"/>
        </w:rPr>
        <w:t>Articles of Amendment</w:t>
      </w:r>
      <w:r>
        <w:rPr>
          <w:rFonts w:ascii="Times New Roman" w:cs="Times New Roman" w:eastAsia="Times New Roman" w:hAnsi="Times New Roman"/>
          <w:sz w:val="18"/>
          <w:szCs w:val="18"/>
          <w:color w:val="auto"/>
        </w:rPr>
        <w:t>”) to its Articles of Amendment and Restatement, as amended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with the Maryland State Department of Assessments and Taxation. The Articles of Amendment will become effective on July 1, 2026, at which time the Company will change its name to “Neostellar Capital Corp.” (the “</w:t>
      </w:r>
      <w:r>
        <w:rPr>
          <w:rFonts w:ascii="Times New Roman" w:cs="Times New Roman" w:eastAsia="Times New Roman" w:hAnsi="Times New Roman"/>
          <w:sz w:val="18"/>
          <w:szCs w:val="18"/>
          <w:b w:val="1"/>
          <w:bCs w:val="1"/>
          <w:i w:val="1"/>
          <w:iCs w:val="1"/>
          <w:color w:val="auto"/>
        </w:rPr>
        <w:t>Name Change</w:t>
      </w:r>
      <w:r>
        <w:rPr>
          <w:rFonts w:ascii="Times New Roman" w:cs="Times New Roman" w:eastAsia="Times New Roman" w:hAnsi="Times New Roman"/>
          <w:sz w:val="18"/>
          <w:szCs w:val="18"/>
          <w:color w:val="auto"/>
        </w:rPr>
        <w:t>”). In accordance with the Maryland General Corporation Law (the “</w:t>
      </w:r>
      <w:r>
        <w:rPr>
          <w:rFonts w:ascii="Times New Roman" w:cs="Times New Roman" w:eastAsia="Times New Roman" w:hAnsi="Times New Roman"/>
          <w:sz w:val="18"/>
          <w:szCs w:val="18"/>
          <w:b w:val="1"/>
          <w:bCs w:val="1"/>
          <w:i w:val="1"/>
          <w:iCs w:val="1"/>
          <w:color w:val="auto"/>
        </w:rPr>
        <w:t>MGCL</w:t>
      </w:r>
      <w:r>
        <w:rPr>
          <w:rFonts w:ascii="Times New Roman" w:cs="Times New Roman" w:eastAsia="Times New Roman" w:hAnsi="Times New Roman"/>
          <w:sz w:val="18"/>
          <w:szCs w:val="18"/>
          <w:color w:val="auto"/>
        </w:rPr>
        <w:t>”) and the Charter, the Company’s board of directors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approved the Name Change and the Articles of Amendment. Stockholder approval was not required.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Symbol</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In connection with the Name Change, beginning on or about July 1, 2026, the trading symbols for the Company’s common stock (the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and the Company’s 6.00% Notes due 2026 (the “</w:t>
      </w:r>
      <w:r>
        <w:rPr>
          <w:rFonts w:ascii="Times New Roman" w:cs="Times New Roman" w:eastAsia="Times New Roman" w:hAnsi="Times New Roman"/>
          <w:sz w:val="18"/>
          <w:szCs w:val="18"/>
          <w:b w:val="1"/>
          <w:bCs w:val="1"/>
          <w:i w:val="1"/>
          <w:iCs w:val="1"/>
          <w:color w:val="auto"/>
        </w:rPr>
        <w:t>2026 Notes</w:t>
      </w:r>
      <w:r>
        <w:rPr>
          <w:rFonts w:ascii="Times New Roman" w:cs="Times New Roman" w:eastAsia="Times New Roman" w:hAnsi="Times New Roman"/>
          <w:sz w:val="18"/>
          <w:szCs w:val="18"/>
          <w:color w:val="auto"/>
        </w:rPr>
        <w:t>”) on the Nasdaq Global Select Market will change from “SSSS” to “NSLR” and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“SSSSL” to “NSLRL,”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Amended and Restated Bylaws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Effective July 1, 2026, the Company will amend and restate its Second Amended and Restated Bylaws to reflect the Name Change (the “</w:t>
      </w:r>
      <w:r>
        <w:rPr>
          <w:rFonts w:ascii="Times New Roman" w:cs="Times New Roman" w:eastAsia="Times New Roman" w:hAnsi="Times New Roman"/>
          <w:sz w:val="18"/>
          <w:szCs w:val="18"/>
          <w:b w:val="1"/>
          <w:bCs w:val="1"/>
          <w:i w:val="1"/>
          <w:iCs w:val="1"/>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Amended and Restated Bylaws</w:t>
      </w:r>
      <w:r>
        <w:rPr>
          <w:rFonts w:ascii="Times New Roman" w:cs="Times New Roman" w:eastAsia="Times New Roman" w:hAnsi="Times New Roman"/>
          <w:sz w:val="18"/>
          <w:szCs w:val="18"/>
          <w:color w:val="auto"/>
        </w:rPr>
        <w:t>”). In accordance with the MGCL and the Company’s Second Amended and Restated Bylaws,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approved the Third Amended and Restated Bylaws. Other than changes to reflect the Name Change, the Third Amended and Restated Bylaws do not amend any provision of the Company’s Second Amended and Restated Bylaws. Stockholder approval was not required.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Articles of Amendment and the Third Amended and Restated Bylaws do not purport to be complete and are qualified in their entirety by reference to the full text of the Articles of Amendment and the Third Amended and Restated Bylaws, which are attached hereto as Exhibit 3.1 and Exhibit 3.2, respectively, and are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14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Articles of Amendment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2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Third Amended and Restated Bylaws</w:t>
            </w:r>
          </w:p>
        </w:tc>
        <w:tc>
          <w:tcPr>
            <w:tcW w:w="7440" w:type="dxa"/>
            <w:vAlign w:val="bottom"/>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26, 2026</w:t>
      </w:r>
      <w:r>
        <w:rPr>
          <w:sz w:val="20"/>
          <w:szCs w:val="20"/>
          <w:color w:val="auto"/>
        </w:rPr>
        <w:tab/>
      </w:r>
      <w:r>
        <w:rPr>
          <w:rFonts w:ascii="Times New Roman" w:cs="Times New Roman" w:eastAsia="Times New Roman" w:hAnsi="Times New Roman"/>
          <w:sz w:val="17"/>
          <w:szCs w:val="17"/>
          <w:b w:val="1"/>
          <w:bCs w:val="1"/>
          <w:color w:val="auto"/>
        </w:rPr>
        <w:t>SURO CAPITAL CORP.</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Allison Green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Treasurer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SURO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SuRo Capital Corp., a Maryland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xml:space="preserve">), having its principal office in the State of Maryland, hereby certifies to the State Department of Assessments and Taxation of Maryland (the </w:t>
      </w:r>
      <w:r>
        <w:rPr>
          <w:rFonts w:ascii="Times New Roman" w:cs="Times New Roman" w:eastAsia="Times New Roman" w:hAnsi="Times New Roman"/>
          <w:sz w:val="18"/>
          <w:szCs w:val="18"/>
          <w:b w:val="1"/>
          <w:bCs w:val="1"/>
          <w:i w:val="1"/>
          <w:iCs w:val="1"/>
          <w:color w:val="auto"/>
        </w:rPr>
        <w:t>“Department”</w:t>
      </w:r>
      <w:r>
        <w:rPr>
          <w:rFonts w:ascii="Times New Roman" w:cs="Times New Roman" w:eastAsia="Times New Roman" w:hAnsi="Times New Roman"/>
          <w:sz w:val="18"/>
          <w:szCs w:val="18"/>
          <w:color w:val="auto"/>
        </w:rPr>
        <w:t>) that: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The Corporation desires to, and does hereby, amend its charter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as currently in effect as hereafter set forth.</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Charter is hereby amended by deleting the existing Article II in its entirety and substituting in lieu thereof a new Article II which reads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The name of the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is: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Neostellar Capital Corp.</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The amendment to the Charter as set forth above has been approved by at least a majority of the entire Board of Directors of the Corporation as required by law. The amendment set forth herein is made without action by the stockholders of the Corporation pursuant to Section 2-605 of the Maryland General Corporation Law.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These Articles of Amendment shall become effective at </w:t>
      </w:r>
      <w:r>
        <w:rPr>
          <w:rFonts w:ascii="Times New Roman" w:cs="Times New Roman" w:eastAsia="Times New Roman" w:hAnsi="Times New Roman"/>
          <w:sz w:val="18"/>
          <w:szCs w:val="18"/>
          <w:b w:val="1"/>
          <w:bCs w:val="1"/>
          <w:color w:val="auto"/>
        </w:rPr>
        <w:t>12:01 a.m.</w:t>
      </w:r>
      <w:r>
        <w:rPr>
          <w:rFonts w:ascii="Times New Roman" w:cs="Times New Roman" w:eastAsia="Times New Roman" w:hAnsi="Times New Roman"/>
          <w:sz w:val="18"/>
          <w:szCs w:val="18"/>
          <w:color w:val="auto"/>
        </w:rPr>
        <w:t xml:space="preserve"> (E.S.T.) on </w:t>
      </w:r>
      <w:r>
        <w:rPr>
          <w:rFonts w:ascii="Times New Roman" w:cs="Times New Roman" w:eastAsia="Times New Roman" w:hAnsi="Times New Roman"/>
          <w:sz w:val="18"/>
          <w:szCs w:val="18"/>
          <w:b w:val="1"/>
          <w:bCs w:val="1"/>
          <w:color w:val="auto"/>
        </w:rPr>
        <w:t>July 1, 2026</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these Articles of Amendment to be executed in its name and on its behalf by its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Officer and President and attested to by its Chief Financial Officer, Treasurer and Corporate Secretary on </w:t>
      </w:r>
      <w:r>
        <w:rPr>
          <w:rFonts w:ascii="Times New Roman" w:cs="Times New Roman" w:eastAsia="Times New Roman" w:hAnsi="Times New Roman"/>
          <w:sz w:val="18"/>
          <w:szCs w:val="18"/>
          <w:b w:val="1"/>
          <w:bCs w:val="1"/>
          <w:color w:val="auto"/>
        </w:rPr>
        <w:t>June 23, 2026</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D. Klein</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Attest:</w:t>
      </w:r>
      <w:r>
        <w:rPr>
          <w:sz w:val="20"/>
          <w:szCs w:val="20"/>
          <w:color w:val="auto"/>
        </w:rPr>
        <w:tab/>
      </w:r>
      <w:r>
        <w:rPr>
          <w:rFonts w:ascii="Times New Roman" w:cs="Times New Roman" w:eastAsia="Times New Roman" w:hAnsi="Times New Roman"/>
          <w:sz w:val="18"/>
          <w:szCs w:val="18"/>
          <w:i w:val="1"/>
          <w:iCs w:val="1"/>
          <w:color w:val="auto"/>
        </w:rPr>
        <w:t>/s/ Allison Green</w:t>
      </w:r>
    </w:p>
    <w:p>
      <w:pPr>
        <w:spacing w:after="0" w:line="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-127635</wp:posOffset>
            </wp:positionV>
            <wp:extent cx="3137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Financial Officer, Treasurer and</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NEOSTELLAR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The principal office of the Corporation in the State of Maryland shall be located at such place as the Board of Directors may designate.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ADDITIONAL OFFICES</w:t>
      </w:r>
      <w:r>
        <w:rPr>
          <w:rFonts w:ascii="Times New Roman" w:cs="Times New Roman" w:eastAsia="Times New Roman" w:hAnsi="Times New Roman"/>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2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PLACE</w:t>
      </w:r>
      <w:r>
        <w:rPr>
          <w:rFonts w:ascii="Times New Roman" w:cs="Times New Roman" w:eastAsia="Times New Roman" w:hAnsi="Times New Roman"/>
          <w:sz w:val="18"/>
          <w:szCs w:val="18"/>
          <w:color w:val="auto"/>
        </w:rPr>
        <w:t>. All meetings of stockholders shall be held at the principal executive office of the Corporation or at such other place as shall be set by the Board of Directors and stated in the notice of the meeting.</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Commencing with the 2011 annual meeting of stockholders of the Corporation, an annual meeting of the stockholders for the election of directors and the transaction of any business within the powers of the Corporation shall be held on a date and at the time set by the Board of Directors.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Chairman of the Board, the chief executive officer, the president or the Board of Directors may call a special meeting of the stockholders. Subject to subsection (b) of this Section 3, a special meeting of stockholders shall also be called by the secretary of the Corporation upon the written request of stockholders entitled to cast not less than a majority of all the votes entitled to be cast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firstLine="1304"/>
        <w:spacing w:after="0" w:line="253"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Requested Special Meetings</w:t>
      </w:r>
      <w:r>
        <w:rPr>
          <w:rFonts w:ascii="Times New Roman" w:cs="Times New Roman" w:eastAsia="Times New Roman" w:hAnsi="Times New Roman"/>
          <w:sz w:val="18"/>
          <w:szCs w:val="18"/>
          <w:color w:val="auto"/>
        </w:rPr>
        <w:t>.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that must be disclosed in solicitations of proxies for election of directors in an election contest (even if an election contest is not involved), or is otherwise required, in each case pursuant to Regulation 14A (or any successor provision) under the Securities Exchange Act of 1934, as amended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 close of business on the tenth day after the first date on which the Record Date Request Notice is received by the secretary.</w:t>
      </w:r>
    </w:p>
    <w:p>
      <w:pPr>
        <w:spacing w:after="0" w:line="18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2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any stockholder to request a special meeting, one or more written requests for a special meeting signed by stockholders of record (or their agents duly authorized in a writing accompanying the request) as of the Request Record Date entitled to cast not less than a majority (the “Special Meeting Percentage”) of all of the votes entitled to be cast at such meeting (the “Special Meeting Request”) shall be delivered to the secretary. In addition, the Special Meeting Request (a) shall set forth the purpose of the meeting and the matters proposed to be acted on at it (which shall be limited to those lawful matters set forth in the Record Date Request Notice received by the secretary), (b) shall bear the date of signature of each such stockholder (or such agent) signing the Special Meeting Request, (c)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by such stockholder beneficially but not of record, (d) shall be sent to the secretary by registered mail, return receipt requested, and (e) shall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spacing w:after="0" w:line="19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mailing of any notice of the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both"/>
        <w:ind w:firstLine="1952"/>
        <w:spacing w:after="0" w:line="268" w:lineRule="auto"/>
        <w:tabs>
          <w:tab w:leader="none" w:pos="219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the next sentence, any special meeting shall be held at such place, date and time as may be designated by the Chairman of the Board, the chief executive officer, the president or the Board of Directors, whoever has called the meeting. In the case of any special meeting called by the secretary upon the request of stockholders (a “Stockholder Requested Meeting”), such meeting shall be held at such place, date and time as may be designated by the Board of Directors; provided, however, that the date of any Stockholder Requested Meeting shall be not more than 90 days after the record date for such meeting (the “Meeting Record Date”); and provided further that if the Board of Directors fails to designate, within ten days after the date that a valid Special Meeting Request is actually received by the secretary (the “Delivery Date”), a date and time for a Stockholder Requested Meeting, then such meeting shall be held at 2:00 p.m. local time on the 90th day after the Meeting Record Date or, if such 90th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chief executive officer,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 Requested Meeting in the event that the requesting stockholders fail to comply with the provisions of paragraph (3) of this Section 3(b).</w:t>
      </w:r>
    </w:p>
    <w:p>
      <w:pPr>
        <w:spacing w:after="0" w:line="181" w:lineRule="exact"/>
        <w:rPr>
          <w:rFonts w:ascii="Times New Roman" w:cs="Times New Roman" w:eastAsia="Times New Roman" w:hAnsi="Times New Roman"/>
          <w:sz w:val="17"/>
          <w:szCs w:val="17"/>
          <w:color w:val="auto"/>
        </w:rPr>
      </w:pPr>
    </w:p>
    <w:p>
      <w:pPr>
        <w:jc w:val="both"/>
        <w:ind w:firstLine="1952"/>
        <w:spacing w:after="0" w:line="254" w:lineRule="auto"/>
        <w:tabs>
          <w:tab w:leader="none" w:pos="21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written revocations of the Special Meeting Request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 notice of any revocation of a request for the special meeting and written notice of the secretary’s intention to revoke the notice of the meeting, revoke the notice of the meeting at any time before ten days before the commencement of the meeting. Any request for a special meeting received after a revocation by the secretary of a notice of a meeting shall be considered a request for a new special meeting.</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as of the Request Record Date, not less than the Special Meeting Percentage. Nothing contained in this paragraph (6) shall in any way be construed to suggest or imply that 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ind w:firstLine="1952"/>
        <w:spacing w:after="0" w:line="282" w:lineRule="auto"/>
        <w:tabs>
          <w:tab w:leader="none" w:pos="21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“Business Day” shall mean any day other than a Saturday, a Sunday or other day on which banking institutions in the State of New York are authorized or obligated by law or executive order to close.</w:t>
      </w:r>
    </w:p>
    <w:p>
      <w:pPr>
        <w:spacing w:after="0" w:line="162" w:lineRule="exact"/>
        <w:rPr>
          <w:sz w:val="20"/>
          <w:szCs w:val="20"/>
          <w:color w:val="auto"/>
        </w:rPr>
      </w:pPr>
    </w:p>
    <w:p>
      <w:pPr>
        <w:jc w:val="both"/>
        <w:ind w:firstLine="1166"/>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 less than ten nor more than 90 days before each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by presenting it to such stockholder personally, by leaving it at the stockholder’s residence or usual place of business or by any other means permitted by Maryland law. If mailed, such notice shall be deemed to be given when deposited in the United States mail addressed to the stockholder at the stockholder’s address as it appears on the records of the Corporation, with postage thereon prepaid. A single notice shall be effective as to all stockholders who share an address, except to the extent that a stockholder at such address objects to such single notice. Failure to give notice of any meeting to one or more stockholders, or any irregularity in such notice, shall not affect the validity of any meeting fixed in accordance with this Article II, or the validity of any proceedings at any such meeting.</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 The Corporation may postpone or cancel a meeting of stockholders by making a “public announcement” (as defined in Section 11(c)(3)) of such postponement or cancellation prior to the meeting.</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ORGANIZATION AND CONDUCT</w:t>
      </w:r>
      <w:r>
        <w:rPr>
          <w:rFonts w:ascii="Times New Roman" w:cs="Times New Roman" w:eastAsia="Times New Roman" w:hAnsi="Times New Roman"/>
          <w:sz w:val="18"/>
          <w:szCs w:val="18"/>
          <w:color w:val="auto"/>
        </w:rPr>
        <w:t>. Every meeting of stockholders shall be conducted by an individual appointed by the Board of Directors to be chairman of the meeting or, in the absence of such appointment, by the Chairman of the Board, if any, or, in the case of a vacancy in the office or absence of the Chairman of the Board, by one of the following officers present at the meeting: the Vice Chairman of the Board, if any, the chief executive officer, the president, any vice president, the secretary, the treasurer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the chairman and without any action by the stockholders, are appropriate for the proper conduct of the meeting, including, without limitation, (a) restricting admission to the time set for the commencement of the meeting; (b) limiting attendance at the meeting to stockholders of record of the Corporation, their duly authorized proxies and other such individuals as the chairman of the meeting may determine; (c) limiting participation at the meeting on any matter to stockholders of record of the Corporation entitled to vote on such matter, their duly authorized proxies or other such individuals as the chairman of the meeting may determine; (d) limiting the time allotted to questions or comments by participants; (e) determining when the polls should be opened and closed; (f) maintaining order and security at the meeting; (g) removing any stockholder or any other individual who refuses to comply with meeting procedures, rules or guidelines as set forth by the chairman of the meeting; (h) concluding a meeting or recessing or adjourning the meeting to a later date and time and at a place announced at the meeting; and (i) complying with any state and local laws and regulations concerning safety and security. Unless otherwise determined by the chairman of the meeting, meetings of stockholders shall not be required to be held in accordance with the rules of parliamentary procedure.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presence in person or by proxy of the holders of shares of stock of the Corporation entitled to cast a majority of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This section shall not affect any requirement under any statute or the charter of the Corporation for the vote necessary for the adoption of any measure.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however, such quorum shall not be present at any meeting of the stockholders, the chairman of the meeting shall have the power to (a) adjourn the meeting from time to time to a date not more than 120 days after the original record date without notice other than announcement at the meeting or (b) conclude the meeting without adjournment to another date. If a meeting is adjourned and a quorum is present at such adjournment, any business may be transacted which might have been transacted at the meeting as originally notified.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plurality of all the votes cast at a meeting of stockholders duly called and at which a quorum is present shall be sufficient to elect a director.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more than a majority of the votes cast is required by statute or by the charter of the Corporation. Unless otherwise provided in the charter, each outstanding share, regardless of class, shall be entitled to one vote on each matter submitted to a vote at a meeting of stockholders.</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A stockholder may cast the votes entitled to be cast by the holder of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VOTING OF STOCK BY CERTAIN HOLDERS</w:t>
      </w:r>
      <w:r>
        <w:rPr>
          <w:rFonts w:ascii="Times New Roman" w:cs="Times New Roman" w:eastAsia="Times New Roman" w:hAnsi="Times New Roman"/>
          <w:sz w:val="18"/>
          <w:szCs w:val="18"/>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the time after the record date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89" w:lineRule="exact"/>
        <w:rPr>
          <w:sz w:val="20"/>
          <w:szCs w:val="20"/>
          <w:color w:val="auto"/>
        </w:rPr>
      </w:pPr>
    </w:p>
    <w:p>
      <w:pPr>
        <w:jc w:val="both"/>
        <w:ind w:firstLine="1166"/>
        <w:spacing w:after="0" w:line="255"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of Directors or the chair of the meeting may appoint, before or at the meeting, one or more inspectors for the meeting and any successor thereto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inspectors, if any, shall (i) determine the number of shares of stock represented at the meeting, in person or by proxy and the validity and effect of proxies, (ii) receive and tabulate all votes, ballots or consents, (iii) report such tabulation to the chair of the meeting, (iv) hear and determine all challenges and questions arising in connection with the right to vote, and (v)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thereof.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ADVANCE NOTICE OF STOCKHOLDER NOMINEES FOR DIRECTOR AND OTHER STOCKHOLDER PROPOSALS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both"/>
        <w:ind w:firstLine="1304"/>
        <w:spacing w:after="0" w:line="258" w:lineRule="auto"/>
        <w:tabs>
          <w:tab w:leader="none" w:pos="15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 (1) 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11(a) and at the time of the annual meeting, who is entitled to vote at the meeting and who has complied with this Section 11(a).</w:t>
      </w:r>
    </w:p>
    <w:p>
      <w:pPr>
        <w:spacing w:after="0" w:line="183" w:lineRule="exact"/>
        <w:rPr>
          <w:rFonts w:ascii="Times New Roman" w:cs="Times New Roman" w:eastAsia="Times New Roman" w:hAnsi="Times New Roman"/>
          <w:sz w:val="18"/>
          <w:szCs w:val="18"/>
          <w:color w:val="auto"/>
        </w:rPr>
      </w:pPr>
    </w:p>
    <w:p>
      <w:pPr>
        <w:jc w:val="both"/>
        <w:ind w:firstLine="1952"/>
        <w:spacing w:after="0" w:line="232" w:lineRule="auto"/>
        <w:tabs>
          <w:tab w:leader="none" w:pos="220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by a stockholder pursuant to clause (iii) of paragraph (a)(1) of this Section 11, the stockholder must have given timely notice thereof in writing to the secretary of the Corporation and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earlier than the 150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first</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anniversary of the date of the proxy statement for the preceding year’s annual meeting nor later than 5:00 p.m., Eastern Time,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first anniversary of the date of the proxy statement for the preceding year’s annual meeting; provided, however, that in the event that the date of the annual meeting is advanced or delayed by more than 30 days from the first anniversary of the date of the preceding year’s annual meeting (or if an annual meeting has not previously been held), notice by the stockholder to be timely must be so delivered not earlier than the 150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date of such annual</w:t>
      </w:r>
    </w:p>
    <w:p>
      <w:pPr>
        <w:spacing w:after="0" w:line="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meeting and not later than 5:00 p.m., Eastern Time, on the later of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date of such annual meeting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 Such stockholder’s notice shall set forth (i) as to each individual whom the stockholder proposes to nominate for election or reelection as a director, (A) the name, age, business address and residence address of such individual, (B) the class, series and number of any shares of stock of the Corporation that are beneficially owned by such individual, (C) the date such shares were acquired and the investment intent of such acquisition, (D) whether such stockholder believes any such individual is, or is not, an “interested person” of the Corporation, as defined in the Investment Company Act of 1940, as amended, and the rules promulgated thereunder (the “Investment Company Act”) and information regarding such individual that is sufficient, in the discretion of the Board of Directors or any committee thereof or any authorized officer of the Corporation, to make such determination and (E) all other information relating to such individual that is required to be disclosed in solicitations of proxies for election of directors in an election contest (even if an election contest is not involved), or is otherwise required, in each case pursuant to Regulation 14A (or any successor provision) under the Exchange Act and the rules thereunder (including such individual’s written consent to being named in the proxy statement as a nominee and to serving as a director if elected); (ii) as to any other business that the stockholder proposes to bring before the meeting, a description of such business, the reasons for proposing such business at the meeting and any material interest in such business of such stockholder and any Stockholder Associated Person (as defined below), individually or in the aggregate, including any anticipated benefit to the stockholder or the Stockholder Associated Person therefrom; (iii) as to the stockholder giving the notice and any Stockholder Associated Person, (A) the class, series and number of all shares of stock of the Corporation which are owned by such stockholder and by such Stockholder Associated Person, if any,</w:t>
      </w:r>
    </w:p>
    <w:p>
      <w:pPr>
        <w:spacing w:after="0" w:line="14" w:lineRule="exact"/>
        <w:rPr>
          <w:sz w:val="20"/>
          <w:szCs w:val="20"/>
          <w:color w:val="auto"/>
        </w:rPr>
      </w:pPr>
    </w:p>
    <w:p>
      <w:pPr>
        <w:jc w:val="both"/>
        <w:ind w:firstLine="8"/>
        <w:spacing w:after="0" w:line="250" w:lineRule="auto"/>
        <w:tabs>
          <w:tab w:leader="none" w:pos="3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holder for, and number of, shares owned beneficially but not of record by such stockholder and by any such Stockholder Associated Person, (C) whether and the extent to which any hedging or other transaction or series of transactions has been entered into by or on behalf of, or any other agreement, arrangement or understanding (including any short position or any borrowing or lending of shares) has been made, the effect or intent of which is to mitigate loss to or manage risk of share price changes for, or to increase the voting power of, such stockholder or any such Stockholder Associated Person with respect to any shares of stock of the Corporation (collectively, “Hedging Activities”) and (D) a general description of whether and the extent to which such stockholder or such Stockholder Associated Person has engaged in Hedging Activities with respect to shares of stock or other equity interests of any other company; (iv) as to the stockholder giving the notice and any Stockholder Associated Person covered by clauses (ii) or (iii) of this paragraph</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of this Section 11(a), (A) the name and address of such stockholder, as they appear on the Corporation’s stock ledger and current name and address, if different, and of such Stockholder Associated 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(B) the investment strategy or objective, if any, of such stockholder or Stockholder Associated Person and a copy of the prospectus, offering memorandum or similar document, if any provided to investors or potential investors in such stockholder or Stockholder Associated Person; and (v) to the extent known by the stockholder giving the notice, the name and address of any other stockholder supporting the nominee for election or reelection as a director or the proposal of other business on the date of such stockholder’s notice.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ind w:firstLine="1952"/>
        <w:spacing w:after="0" w:line="256" w:lineRule="auto"/>
        <w:tabs>
          <w:tab w:leader="none" w:pos="220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the proxy statement for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 “Stockholder Associated Person” of any stockholder shall mean (i) any person controlling,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(i) pursuant to the Corporation’s notice of meeting, (ii) by or at the direction of the Board of Directors or (iii) provided that the Board of Directors has determined that directors shall be elected at such special meeting, by any stockholder of the Corporation who is a stockholder of record both at the time of giving of notice provided for in this Section 11 and at the time of the special meeting, who is entitled to vote at the meeting and who has complied with the notice procedures set forth in this Section 11. In the event the Corporation calls a special meeting of stockholders for the purpose of electing one or more individuals to the Board of Directors, any such stockholder may nominate an individual or individuals (as the case may be) for election as a director as specified in the Corporation’s notice of meeting, if the stockholder’s notice required by paragraph (a)(2) of this Section 11 shall be delivered to the secretary at the principal executive office of the Corporation not earlier than the</w:t>
      </w:r>
    </w:p>
    <w:p>
      <w:pPr>
        <w:spacing w:after="0" w:line="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special meeting and not later than 5:00 p.m., Eastern Time, on the later of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199" w:lineRule="exact"/>
        <w:rPr>
          <w:sz w:val="20"/>
          <w:szCs w:val="20"/>
          <w:color w:val="auto"/>
        </w:rPr>
      </w:pPr>
    </w:p>
    <w:p>
      <w:pPr>
        <w:jc w:val="both"/>
        <w:ind w:firstLine="1304"/>
        <w:spacing w:after="0" w:line="254"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(1) If information submitted pursuant to this Section 11 by any stockholder proposing a nominee for election as a Director or any proposal for other business at a meeting of stockholders shall be inaccurate to a material extent, such information may be deemed not to have been provided in accordance with this Section 11. Upon written request by the secretary or the Board of Directors, any stockholder proposing a nominee for election as a Director or any proposal for other business at a meeting of stockholders shall provide, within five Business Days of delivery of such request (or such other period as may be specified in such request), (A) written verification, satisfactory, in the discretion of the Board of Directors or any authorized officer of the Corporation, to demonstrate the accuracy of any information submitted by the stockholder pursuant to this Section 11 and (B) a written update of any information previously submitted by the stockholder pursuant to this Section 11 as of an earlier date. If a stockholder fails to provide such written verification or written update within such period, the information as to which written verification or a written update was requested may be deemed not to have been provided in accordance with this Section 11.</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 “public announcement” shall mean disclosure (i) in a press release reported by the Dow Jones News Service, Associated Press, Business Wire, PR Newswire or other widely circulated news or wire service or (ii) in a document publicly filed by the Corporation with the Securities and Exchange Commission pursuant to the Exchange Act or the Investment Company Act.</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 a stockholder shall also comply with all applicable requirements of state law and of the Exchange Act and the rules and regulations thereunder with respect to the matters set forth in this Section 11. Nothing in this Section 11 shall be deemed to affect any right of a stockholder to request inclusion of a proposal in, nor the right of the Corporation to omit a proposal from, the Corporation’s proxy statement pursuant to Rule 14a-8 (or any successor provision) under the Exchange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VOTING BY BALLOT</w:t>
      </w:r>
      <w:r>
        <w:rPr>
          <w:rFonts w:ascii="Times New Roman" w:cs="Times New Roman" w:eastAsia="Times New Roman" w:hAnsi="Times New Roman"/>
          <w:sz w:val="18"/>
          <w:szCs w:val="18"/>
          <w:color w:val="auto"/>
        </w:rPr>
        <w:t xml:space="preserve">. Voting on any question or in any election may be </w:t>
      </w:r>
      <w:r>
        <w:rPr>
          <w:rFonts w:ascii="Times New Roman" w:cs="Times New Roman" w:eastAsia="Times New Roman" w:hAnsi="Times New Roman"/>
          <w:sz w:val="18"/>
          <w:szCs w:val="18"/>
          <w:u w:val="single" w:color="auto"/>
          <w:color w:val="auto"/>
        </w:rPr>
        <w:t>viva voce</w:t>
      </w:r>
      <w:r>
        <w:rPr>
          <w:rFonts w:ascii="Times New Roman" w:cs="Times New Roman" w:eastAsia="Times New Roman" w:hAnsi="Times New Roman"/>
          <w:sz w:val="18"/>
          <w:szCs w:val="18"/>
          <w:color w:val="auto"/>
        </w:rPr>
        <w:t xml:space="preserve"> unless the presiding officer shall order or any stockholder shall demand that voting be by ballot.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CONTROL SHARE ACQUISITION ACT</w:t>
      </w:r>
      <w:r>
        <w:rPr>
          <w:rFonts w:ascii="Times New Roman" w:cs="Times New Roman" w:eastAsia="Times New Roman" w:hAnsi="Times New Roman"/>
          <w:sz w:val="18"/>
          <w:szCs w:val="18"/>
          <w:color w:val="auto"/>
        </w:rPr>
        <w:t>. Notwithstanding any other provision of the charter of the Corporation or these Bylaws, Subtitle 7 of Title 3 of the Maryland General Corporation Law (the “MGCL”), or any successor statute, shall not apply to any acquisition by any person of shares of stock of the Corporation.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under the direction of its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TENURE AND QUALIFICATIONS</w:t>
      </w:r>
      <w:r>
        <w:rPr>
          <w:rFonts w:ascii="Times New Roman" w:cs="Times New Roman" w:eastAsia="Times New Roman" w:hAnsi="Times New Roman"/>
          <w:sz w:val="18"/>
          <w:szCs w:val="18"/>
          <w:color w:val="auto"/>
        </w:rPr>
        <w:t>. At any regular meeting or at any special meeting called for that purpose, a majority of the entire Board of Directors may establish, increase or decrease the number of directors, provided that the number thereof shall never be less than one, nor more than nine, and further provided that the tenure of office of a director shall not be affected by any decrease in the number of directors.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ANNUAL AND REGULAR MEETINGS</w:t>
      </w:r>
      <w:r>
        <w:rPr>
          <w:rFonts w:ascii="Times New Roman" w:cs="Times New Roman" w:eastAsia="Times New Roman" w:hAnsi="Times New Roman"/>
          <w:sz w:val="18"/>
          <w:szCs w:val="18"/>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by or at the request of the Chairman of the Board, the chief executive officer,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notice other than such resolution.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directors shall constitute a quorum for transaction of business at any meeting of the Board of Directors, provided that, if less than a majority of such directors are present at such meeting, a majority of the directors present may adjourn the meeting from time to time without further notice, and provided further that if, pursuant to applicable law, the charter of the Corporation or these Bylaws, the vote of a majority or other percentage of a particular group of directors is required for action, a quorum must also include a majority of such group.</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The action of a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that number of directors necessary to constitute a quorum at such meeting shall be the action of the Board of Directors, unless the concurrence of a greater proportion is required for such action by applicable statute or the charter.</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TELEPHONE MEETINGS</w:t>
      </w:r>
      <w:r>
        <w:rPr>
          <w:rFonts w:ascii="Times New Roman" w:cs="Times New Roman" w:eastAsia="Times New Roman" w:hAnsi="Times New Roman"/>
          <w:sz w:val="18"/>
          <w:szCs w:val="18"/>
          <w:color w:val="auto"/>
        </w:rPr>
        <w:t>. Directors may participate in a meeting by means of a conference telephone or similar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WRITTEN CONSENT BY DIRECTORS</w:t>
      </w:r>
      <w:r>
        <w:rPr>
          <w:rFonts w:ascii="Times New Roman" w:cs="Times New Roman" w:eastAsia="Times New Roman" w:hAnsi="Times New Roman"/>
          <w:sz w:val="18"/>
          <w:szCs w:val="18"/>
          <w:color w:val="auto"/>
        </w:rPr>
        <w:t>. Any action required or permitted to be taken at any meeting of the Board of Directors may be taken without a meeting, if a consent to such action is given in writing or by electronic transmission and is filed with the minutes of proceedings of the Board of Directors; provided however, this Section 10 does not apply to any action of the directors pursuant to the Investment Company Act, that requires the vote of the directors to be cast in person at a meeting.</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If for any reason any or all the directors cease to be directors, such event shall not terminate the Corporation or affect these Bylaws or the powers of the remaining directors hereunder, if any. Pursuant to the Corporation’s election in Article IV of the charter, subject to applicable requirements of the Investment Company Act, except as may be provided by the Board of Directors in setting the terms of any class or series of preferred stock, (a) any vacancy on the Board of Directors may be filled only by a majority of the remaining directors, even if the remaining directors do not constitute a quorum and (b) any director elected to fill a vacancy shall serve for the remainder of the full term of the class in which the vacancy occurred and until a successor is elected and qualifies.</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LOSS OF DEPOSITS</w:t>
      </w:r>
      <w:r>
        <w:rPr>
          <w:rFonts w:ascii="Times New Roman" w:cs="Times New Roman" w:eastAsia="Times New Roman" w:hAnsi="Times New Roman"/>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SURETY BONDS</w:t>
      </w:r>
      <w:r>
        <w:rPr>
          <w:rFonts w:ascii="Times New Roman" w:cs="Times New Roman" w:eastAsia="Times New Roman" w:hAnsi="Times New Roman"/>
          <w:sz w:val="18"/>
          <w:szCs w:val="18"/>
          <w:color w:val="auto"/>
        </w:rPr>
        <w:t>. Unless required by law, no director shall be obligated to give any bond or surety or other security for the performance of any of his or her duties.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director and officer of the Corporation shall, in the performance of his or her duties with respect to the Corporation, be entitled to rely on any information, opinion, report or statement, including any financial statement or other financial data, prepared or presented by an officer or employee of the Corporation whom the director or officer reasonably believes to be reliable and competent in the matters presented, by a lawyer, certified public accountant or other person, as to a matter which the director or officer reasonably believes to be within the person’s professional or expert competence, or, with respect to a director, by a committee of the Board of Directors on which the director does not serve, as to a matter within its designated authority, if the director reasonably believes the committee to merit confidence.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both"/>
        <w:ind w:firstLine="1260"/>
        <w:spacing w:after="0" w:line="255"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The Board of Directors or the stockholders may ratify and make binding on the Corporation any action or inaction by the Corporation or its officers to the extent that the Board of Directors or the stockholders could have originally authorized the matter. Moreover, any action or inaction questioned in any stockholders’ derivative proceeding or any other proceeding on the ground of lack of authority, defective or irregular execution, adverse interest of a director, officer or stockholder, non-disclosure, miscomputation, or the application of improper principles or practices of accounting, may be ratified, before or after judgment, by the Board of Directors or by the stockholders and such ratification shall be binding upon the Corporation and its stockholders and shall constitute a bar to any claim or execution of any judgment in respect of such questioned action or inaction.</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17 . </w:t>
      </w:r>
      <w:r>
        <w:rPr>
          <w:rFonts w:ascii="Times New Roman" w:cs="Times New Roman" w:eastAsia="Times New Roman" w:hAnsi="Times New Roman"/>
          <w:sz w:val="18"/>
          <w:szCs w:val="18"/>
          <w:u w:val="single" w:color="auto"/>
          <w:color w:val="auto"/>
        </w:rPr>
        <w:t>EMERGENCY PROVISIONS</w:t>
      </w:r>
      <w:r>
        <w:rPr>
          <w:rFonts w:ascii="Times New Roman" w:cs="Times New Roman" w:eastAsia="Times New Roman" w:hAnsi="Times New Roman"/>
          <w:sz w:val="18"/>
          <w:szCs w:val="18"/>
          <w:color w:val="auto"/>
        </w:rPr>
        <w:t>. Notwithstanding any other provision in the charter or these Bylaws, this Section 17 shall apply during the existence of any catastrophe, or other similar emergency condition, as a result of which a quorum of the Board of Directors under Article</w:t>
      </w:r>
    </w:p>
    <w:p>
      <w:pPr>
        <w:jc w:val="both"/>
        <w:ind w:firstLine="8"/>
        <w:spacing w:after="0" w:line="253" w:lineRule="auto"/>
        <w:tabs>
          <w:tab w:leader="none" w:pos="2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these Bylaws cannot readily be obtained (an “Emergency”). During any Emergency, unless otherwise provided by the Board of Directors, (i) a meeting of the Board of Directors or a committee thereof may be called by any director or officer by any means feasible under the circumstances; (ii) notice of any meeting of the Board of Directors during such an Emergency may be given less than 24 hours prior to the meeting to as many directors and by such means as may be feasible at the time, including publication, television or radio, and (iii) the number of directors necessary to constitute a quorum shall be one-third of the entire Board of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 TENURE AND QUALIFICATIONS</w:t>
      </w:r>
      <w:r>
        <w:rPr>
          <w:rFonts w:ascii="Times New Roman" w:cs="Times New Roman" w:eastAsia="Times New Roman" w:hAnsi="Times New Roman"/>
          <w:sz w:val="18"/>
          <w:szCs w:val="18"/>
          <w:color w:val="auto"/>
        </w:rPr>
        <w:t>. The Board of Directors may appoint from among its members an Executive Committee, an Audit Committee, a Nominating and Corporate Governance Committee, a Valuation Committee and other committees, composed of one or more directors, to serve at the pleasure of the Board of Directors.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Board of Directors may delegate to committees appointed under Section 1 of this Article any of the powers of the Board of Directors, except as prohibited by law.</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TELEPHONE MEETINGS</w:t>
      </w:r>
      <w:r>
        <w:rPr>
          <w:rFonts w:ascii="Times New Roman" w:cs="Times New Roman" w:eastAsia="Times New Roman" w:hAnsi="Times New Roman"/>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WRITTEN CONSENT BY COMMITTEES</w:t>
      </w:r>
      <w:r>
        <w:rPr>
          <w:rFonts w:ascii="Times New Roman" w:cs="Times New Roman" w:eastAsia="Times New Roman" w:hAnsi="Times New Roman"/>
          <w:sz w:val="18"/>
          <w:szCs w:val="18"/>
          <w:color w:val="auto"/>
        </w:rPr>
        <w:t>. Any action required or permitted to be taken at any meeting of a committee of the Board of Directors may be taken without a meeting, if a consent to such action is given in writing or by electronic transmission by each member of the committee and is filed with the minutes of proceedings of such committee.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Subject to the provisions hereof, the Board of Directors shall have the power at any time to change the membership of any committee, to fill any vacancy, to designate one or more alternate members to replace any absent or disqualified member or to dissolve any such committee. Subject to the power of the Board of Directors, the members of the committee shall have the power to fill any vacancies on the committee.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The officers of the Corporation shall include a president, a secretary and a treasurer and may include a chief executive officer, one or more vice presidents, a chief operating officer, a chief financial officer, a chief investment officer, a chief compliance officer, one or more assistant secretaries and one or more assistant treasurers. In addition, the Board of Directors may from time to time elect such other officers with such powers and duties as it shall deem necessary or desirable. The Board of Directors may designate a Chairman of the Board and a Vice Chairman of the Board, who shall not, solely by reason of such designation,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serve until his or her successor is elected and qualifies or until death,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REMOVAL AND RESIGNATION</w:t>
      </w:r>
      <w:r>
        <w:rPr>
          <w:rFonts w:ascii="Times New Roman" w:cs="Times New Roman" w:eastAsia="Times New Roman" w:hAnsi="Times New Roman"/>
          <w:sz w:val="18"/>
          <w:szCs w:val="18"/>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 vacancy in any office may be filled by the Board of Directors for the balance of the term.</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Board of Directors may designate a chief executive officer. In the absence of such designation, the president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CHIEF OPERATING OFFICER</w:t>
      </w:r>
      <w:r>
        <w:rPr>
          <w:rFonts w:ascii="Times New Roman" w:cs="Times New Roman" w:eastAsia="Times New Roman" w:hAnsi="Times New Roman"/>
          <w:sz w:val="18"/>
          <w:szCs w:val="18"/>
          <w:color w:val="auto"/>
        </w:rPr>
        <w:t>. The Board of Directors may designate a chief operating officer. The chief operating officer shall have the responsibilities and duties as determined by the Board of Directors or the chief executive officer.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CHIEF INVESTMENT OFFICER</w:t>
      </w:r>
      <w:r>
        <w:rPr>
          <w:rFonts w:ascii="Times New Roman" w:cs="Times New Roman" w:eastAsia="Times New Roman" w:hAnsi="Times New Roman"/>
          <w:sz w:val="18"/>
          <w:szCs w:val="18"/>
          <w:color w:val="auto"/>
        </w:rPr>
        <w:t>. The Board of Directors may designate a chief investment officer. The chief investment officer shall have the responsibilities and duties as determined by the Board of Directors or the chief executive officer.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CHIEF COMPLIANCE OFFICER</w:t>
      </w:r>
      <w:r>
        <w:rPr>
          <w:rFonts w:ascii="Times New Roman" w:cs="Times New Roman" w:eastAsia="Times New Roman" w:hAnsi="Times New Roman"/>
          <w:sz w:val="18"/>
          <w:szCs w:val="18"/>
          <w:color w:val="auto"/>
        </w:rPr>
        <w:t>. The chief compliance officer, subject to the direction of and reporting to the Board of Directors, shall be responsible for the oversight of the Corporation’s compliance with the Federal securities laws. The designation, compensation and removal of the chief compliance officer must be approved by the Board of Directors, including a majority of the directors who are not “interested persons” (as such term is defined in Section 2(a)(19) of the Investment Company Act of 1940) of the Corporation. The chief compliance officer shall perform such executive, supervisory and management functions and duties as may be assigned to him or her from time to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In the absence of a designation of a chief executive officer by the Board of Directors, the president shall be the chief executive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ASSISTANT SECRETARIES AND ASSISTANT TREASURERS</w:t>
      </w:r>
      <w:r>
        <w:rPr>
          <w:rFonts w:ascii="Times New Roman" w:cs="Times New Roman" w:eastAsia="Times New Roman" w:hAnsi="Times New Roman"/>
          <w:sz w:val="18"/>
          <w:szCs w:val="18"/>
          <w:color w:val="auto"/>
        </w:rPr>
        <w:t>. The assistant secretaries and assistant treasurers, in general, shall perform such duties as shall be assigned to them by the secretary or treasurer, respectively, or by the president or the Board of Directors.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CONTRACTS, LOANS, CHECKS AND DEPOSITS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and executed by an authorized person.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CHECKS AND DRAFTS</w:t>
      </w:r>
      <w:r>
        <w:rPr>
          <w:rFonts w:ascii="Times New Roman" w:cs="Times New Roman" w:eastAsia="Times New Roman" w:hAnsi="Times New Roman"/>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REQUIRED INFORMATION</w:t>
      </w:r>
      <w:r>
        <w:rPr>
          <w:rFonts w:ascii="Times New Roman" w:cs="Times New Roman" w:eastAsia="Times New Roman" w:hAnsi="Times New Roman"/>
          <w:sz w:val="18"/>
          <w:szCs w:val="18"/>
          <w:color w:val="auto"/>
        </w:rPr>
        <w:t>. The Corporation may issue some or all of the shares of any or all of the Corporation’s classes or series of stock without certificates if authorized by the Board of Directors. In the event that the Corporation issues shares of stock represented by certificates, such certificates shall be in such form as prescribed by the Board of Directors or a duly authorized officer, shall contain the statements and information required by the Maryland General Corporation Law (the “MGCL”) and shall be signed by the officers of the Corporation in the manner permitted by the MGCL. In the event that the Corporation issues shares of stock without certificates, to the extent then required by the MGCL, the Corporation shall provide to the record holders of such shares a written statement of the information required by the MGCL to be included on stock certificates. There shall be no differences in the rights and obligations of stockholders based on whether or not their shares are represented by certificates. If a class or series of stock is authorized by the Board of Directors to be issued without certificates, no stockholder shall be entitled to a certificate or certificates representing any shares of such class or series of stock held by such stockholder unless otherwise determined by the Board of Directors and then only upon written request by such stockholder to the secretary of the Corporation.</w:t>
      </w:r>
    </w:p>
    <w:p>
      <w:pPr>
        <w:spacing w:after="0" w:line="19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All transfers of stock shall be made on the books of the Corporation, by the holder of the shares, in person or by his or her attorney, in such manner as the Board of Directors or any officer of the Corporation may prescribe and, if such shares are certificated, upon surrender of certificates duly endorsed. The issuance of a new certificate upon the transfer of certificated shares is subject to the determination of the Board of Directors that such shares shall no longer be represented by certificates. Upon the transfer of uncertificated shares, to the extent then required by the MGCL, the Corporation shall provide to record holders of such shares a written statement of the information required by the MGCL to be included on stock certificates.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Notwithstanding the foregoing, transfers of shares of any class or series of stock will be subject in all respects to the charter of the Corporation and all of the terms and conditions contained therein.</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REPLACEMENT CERTIFICATE</w:t>
      </w:r>
      <w:r>
        <w:rPr>
          <w:rFonts w:ascii="Times New Roman" w:cs="Times New Roman" w:eastAsia="Times New Roman" w:hAnsi="Times New Roman"/>
          <w:sz w:val="18"/>
          <w:szCs w:val="18"/>
          <w:color w:val="auto"/>
        </w:rPr>
        <w:t>. Any officer of the Corporation may direct a new certificate or certificates to be issued in place of any certificate or certificates theretofore issued by the Corporation alleged to have been lost, destroyed, stolen or mutilated, upon the making of an affidavit of that fact by the person claiming the certificate of stock to be lost, destroyed, stolen or mutilated; provided, however, if such shares have ceased to be certificated, no new certificate shall be issued unless requested in writing by such stockholder and the Board of Directors has determined such certificates may be issued. Unless otherwise determined by an officer of the Corporation, the owner of such lost, destroyed, stolen or mutilated certificate or certificates, or his or her legal representative, shall be required, as a condition precedent to the issuance of a new certificate or certificates, to give the Corporation a bond in such sums as it may direct as indemnity against any claim that may be made against the Corporation.</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FIXING OF RECORD DATE</w:t>
      </w:r>
      <w:r>
        <w:rPr>
          <w:rFonts w:ascii="Times New Roman" w:cs="Times New Roman" w:eastAsia="Times New Roman" w:hAnsi="Times New Roman"/>
          <w:sz w:val="18"/>
          <w:szCs w:val="18"/>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When a determination of stockholders entitled to vote at any meeting of stockholders has been made as provided in this section, such determination shall apply to any adjournment or postponement thereof, except when the meeting is adjourned or postponed to a date more than 120 days after the record date fixed for the original meeting, in which case a new record date shall be determined as set forth herein.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LEDGER</w:t>
      </w:r>
      <w:r>
        <w:rPr>
          <w:rFonts w:ascii="Times New Roman" w:cs="Times New Roman" w:eastAsia="Times New Roman" w:hAnsi="Times New Roman"/>
          <w:sz w:val="18"/>
          <w:szCs w:val="18"/>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FRACTIONAL STOCK; ISSUANCE OF UNITS</w:t>
      </w:r>
      <w:r>
        <w:rPr>
          <w:rFonts w:ascii="Times New Roman" w:cs="Times New Roman" w:eastAsia="Times New Roman" w:hAnsi="Times New Roman"/>
          <w:sz w:val="18"/>
          <w:szCs w:val="18"/>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ACCOUNTING YEAR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Board of Directors shall have the power, from time to time, to fix the fiscal year of the Corporation by a duly adopted resolution.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for repairing or maintaining any property of the Corporation or for such other purpose as the Board of Directors shall determine, and the Board of Directors may modify or abolish any such reserve.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AFFIXING SEAL</w:t>
      </w:r>
      <w:r>
        <w:rPr>
          <w:rFonts w:ascii="Times New Roman" w:cs="Times New Roman" w:eastAsia="Times New Roman" w:hAnsi="Times New Roman"/>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ADVANCE OF EXPENSES</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To the maximum extent permitted by Maryland law and the Investment Company Act,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the proceeding by reason of his or her service in that capacity or (b) any individual who, while a director or officer of the Corporation and at the request of the Corporation, serves or has served as a director, officer, partner or trustee of such corporation, real estate investment trust, partnership, joint venture, trust, employee benefit plan or other enterprise and who is made, or threatened to be made, a party to the proceeding by reason of his or her service in that capacity. The Corporation may, with the approval of its Board of Directors or any duly authorized committee thereof, provide such indemnification and advance for expenses to a person who served a predecessor of the Corporation in any of the capacities described in (a) or</w:t>
      </w:r>
    </w:p>
    <w:p>
      <w:pPr>
        <w:spacing w:after="0" w:line="1" w:lineRule="exact"/>
        <w:rPr>
          <w:sz w:val="20"/>
          <w:szCs w:val="20"/>
          <w:color w:val="auto"/>
        </w:rPr>
      </w:pPr>
    </w:p>
    <w:p>
      <w:pPr>
        <w:jc w:val="both"/>
        <w:ind w:firstLine="8"/>
        <w:spacing w:after="0" w:line="255"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to any employee or agent of the Corporation or a predecessor of the Corporation. The indemnification and payment of expenses provided in these Bylaws shall not be deemed exclusive of or limit in any way other rights to which any person seeking indemnification or payment of expenses may be or may become entitled under any bylaw, regulation, insurance, agreement or otherwise.</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 provision of this Article XI shall be effective to protect or purport to protect any director or officer of the Corporation against liability to the Corporation or its stockholders to which he or she would otherwise be subject by reason of willful misfeasance, bad faith, gross negligence or reckless disregard of the duties involved in the conduct of his or her office.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WAIVER OF NOTICE</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COMPANY ACT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MGCL, including, without limitation, Subtitle 6 and, if then applicable, Subtitle 7, of Title 3 of the MGCL, or any provision of the charter or these Bylaws conflicts with any provision of the Investment Company Act, the applicable provision of the Investment Company Act shall control.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Board of Directors shall have the exclusive power, at any time, to adopt, alter or repeal any provision of these Bylaws and to make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Bylaws.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2"/>
    </w:lvl>
    <w:lvl w:ilvl="1">
      <w:lvlJc w:val="left"/>
      <w:lvlText w:val="(%2)"/>
      <w:numFmt w:val="decimal"/>
      <w:start w:val="2"/>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7"/>
    </w:lvl>
  </w:abstractNum>
  <w:abstractNum w:abstractNumId="5">
    <w:nsid w:val="5BD062C2"/>
    <w:multiLevelType w:val="hybridMultilevel"/>
    <w:lvl w:ilvl="0">
      <w:lvlJc w:val="left"/>
      <w:lvlText w:val="(%1)"/>
      <w:numFmt w:val="lowerLetter"/>
      <w:start w:val="1"/>
    </w:lvl>
    <w:lvl w:ilvl="1">
      <w:lvlJc w:val="left"/>
      <w:lvlText w:val="(%2)"/>
      <w:numFmt w:val="decimal"/>
      <w:start w:val="2"/>
    </w:lvl>
  </w:abstractNum>
  <w:abstractNum w:abstractNumId="6">
    <w:nsid w:val="12200854"/>
    <w:multiLevelType w:val="hybridMultilevel"/>
    <w:lvl w:ilvl="0">
      <w:lvlJc w:val="left"/>
      <w:lvlText w:val="(%1)"/>
      <w:numFmt w:val="upperLetter"/>
      <w:start w:val="2"/>
    </w:lvl>
  </w:abstractNum>
  <w:abstractNum w:abstractNumId="7">
    <w:nsid w:val="4DB127F8"/>
    <w:multiLevelType w:val="hybridMultilevel"/>
    <w:lvl w:ilvl="0">
      <w:lvlJc w:val="left"/>
      <w:lvlText w:val="%1"/>
      <w:numFmt w:val="lowerLetter"/>
      <w:start w:val="1"/>
    </w:lvl>
    <w:lvl w:ilvl="1">
      <w:lvlJc w:val="left"/>
      <w:lvlText w:val="(%2)"/>
      <w:numFmt w:val="decimal"/>
      <w:start w:val="3"/>
    </w:lvl>
  </w:abstractNum>
  <w:abstractNum w:abstractNumId="8">
    <w:nsid w:val="216231B"/>
    <w:multiLevelType w:val="hybridMultilevel"/>
    <w:lvl w:ilvl="0">
      <w:lvlJc w:val="left"/>
      <w:lvlText w:val="(%1)"/>
      <w:numFmt w:val="lowerLetter"/>
      <w:start w:val="2"/>
    </w:lvl>
    <w:lvl w:ilvl="1">
      <w:lvlJc w:val="left"/>
      <w:lvlText w:val="%2"/>
      <w:numFmt w:val="decimal"/>
      <w:start w:val="1"/>
    </w:lvl>
  </w:abstractNum>
  <w:abstractNum w:abstractNumId="9">
    <w:nsid w:val="1F16E9E8"/>
    <w:multiLevelType w:val="hybridMultilevel"/>
    <w:lvl w:ilvl="0">
      <w:lvlJc w:val="left"/>
      <w:lvlText w:val="(%1)"/>
      <w:numFmt w:val="lowerLetter"/>
      <w:start w:val="3"/>
    </w:lvl>
    <w:lvl w:ilvl="1">
      <w:lvlJc w:val="left"/>
      <w:lvlText w:val="(%2)"/>
      <w:numFmt w:val="decimal"/>
      <w:start w:val="2"/>
    </w:lvl>
  </w:abstractNum>
  <w:abstractNum w:abstractNumId="10">
    <w:nsid w:val="1190CDE7"/>
    <w:multiLevelType w:val="hybridMultilevel"/>
    <w:lvl w:ilvl="0">
      <w:lvlJc w:val="left"/>
      <w:lvlText w:val="%1"/>
      <w:numFmt w:val="upperLetter"/>
      <w:start w:val="6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2026-06-26T16:44:03Z</dcterms:created>
  <dcterms:modified xsi:type="dcterms:W3CDTF">2026-06-26T16:44:03Z</dcterms:modified>
</cp:coreProperties>
</file>